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noProof/>
        </w:rPr>
        <w:drawing>
          <wp:inline distT="0" distB="0" distL="0" distR="0" wp14:anchorId="164C5069" wp14:editId="7DE4B4FC">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2E2DC613"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920E36">
        <w:rPr>
          <w:rFonts w:ascii="Times New Roman" w:hAnsi="Times New Roman" w:cs="Times New Roman"/>
          <w:b/>
          <w:bCs/>
          <w:color w:val="D03C20"/>
          <w:sz w:val="32"/>
          <w:szCs w:val="32"/>
        </w:rPr>
        <w:t>Nitric Acid</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21C613E8"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C653D0">
        <w:rPr>
          <w:rFonts w:ascii="Times New Roman" w:hAnsi="Times New Roman" w:cs="Times New Roman"/>
          <w:sz w:val="24"/>
          <w:szCs w:val="24"/>
        </w:rPr>
        <w:t>nitric acid</w:t>
      </w:r>
      <w:r w:rsidRPr="00B005CF">
        <w:rPr>
          <w:rFonts w:ascii="Times New Roman" w:hAnsi="Times New Roman" w:cs="Times New Roman"/>
          <w:sz w:val="24"/>
          <w:szCs w:val="24"/>
        </w:rPr>
        <w:t xml:space="preserve"> </w:t>
      </w:r>
      <w:r w:rsidR="000F375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847">
        <w:rPr>
          <w:rFonts w:ascii="Times New Roman" w:hAnsi="Times New Roman" w:cs="Times New Roman"/>
          <w:sz w:val="24"/>
          <w:szCs w:val="24"/>
        </w:rPr>
        <w:t xml:space="preserve">___________ </w:t>
      </w:r>
      <w:r>
        <w:rPr>
          <w:rFonts w:ascii="Times New Roman" w:hAnsi="Times New Roman" w:cs="Times New Roman"/>
          <w:sz w:val="24"/>
          <w:szCs w:val="24"/>
        </w:rPr>
        <w:t xml:space="preserve">laboratory and to comply with requirements of </w:t>
      </w:r>
      <w:r w:rsidRPr="00440243">
        <w:rPr>
          <w:rFonts w:ascii="Times New Roman" w:hAnsi="Times New Roman" w:cs="Times New Roman"/>
          <w:sz w:val="24"/>
          <w:szCs w:val="24"/>
        </w:rPr>
        <w:t xml:space="preserve">OSHA </w:t>
      </w:r>
      <w:r w:rsidR="00213C5A">
        <w:rPr>
          <w:rFonts w:ascii="Times New Roman" w:hAnsi="Times New Roman" w:cs="Times New Roman"/>
          <w:sz w:val="24"/>
          <w:szCs w:val="24"/>
        </w:rPr>
        <w:t>S</w:t>
      </w:r>
      <w:r w:rsidR="00560847">
        <w:rPr>
          <w:rFonts w:ascii="Times New Roman" w:hAnsi="Times New Roman" w:cs="Times New Roman"/>
          <w:sz w:val="24"/>
          <w:szCs w:val="24"/>
        </w:rPr>
        <w:t xml:space="preserve">tandard 29 CFR 1910 Subpart Z </w:t>
      </w:r>
      <w:r w:rsidRPr="00440243">
        <w:rPr>
          <w:rFonts w:ascii="Times New Roman" w:hAnsi="Times New Roman" w:cs="Times New Roman"/>
          <w:sz w:val="24"/>
          <w:szCs w:val="24"/>
        </w:rPr>
        <w:t>(</w:t>
      </w:r>
      <w:hyperlink r:id="rId12" w:history="1">
        <w:r w:rsidR="00920E36" w:rsidRPr="00920E36">
          <w:rPr>
            <w:rStyle w:val="Hyperlink"/>
            <w:rFonts w:ascii="Times New Roman" w:hAnsi="Times New Roman" w:cs="Times New Roman"/>
            <w:sz w:val="24"/>
            <w:szCs w:val="24"/>
          </w:rPr>
          <w:t>CAS# 7697-37-2</w:t>
        </w:r>
      </w:hyperlink>
      <w:r w:rsidRPr="00440243">
        <w:rPr>
          <w:rFonts w:ascii="Times New Roman" w:hAnsi="Times New Roman" w:cs="Times New Roman"/>
          <w:sz w:val="24"/>
          <w:szCs w:val="24"/>
        </w:rPr>
        <w:t>)</w:t>
      </w:r>
      <w:r>
        <w:rPr>
          <w:rFonts w:ascii="Times New Roman" w:hAnsi="Times New Roman" w:cs="Times New Roman"/>
          <w:sz w:val="24"/>
          <w:szCs w:val="24"/>
        </w:rPr>
        <w:t xml:space="preserve">. </w:t>
      </w:r>
    </w:p>
    <w:p w14:paraId="3C8E555C" w14:textId="120010B6"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r w:rsidR="00AE5E43" w:rsidRPr="00925977">
        <w:rPr>
          <w:rFonts w:ascii="Times New Roman" w:hAnsi="Times New Roman"/>
          <w:bCs/>
          <w:sz w:val="24"/>
          <w:szCs w:val="24"/>
        </w:rPr>
        <w:br/>
      </w:r>
    </w:p>
    <w:p w14:paraId="1EAEBD18" w14:textId="5DA9DA1E" w:rsidR="00925977" w:rsidRPr="00920E36" w:rsidRDefault="00920E36" w:rsidP="00920E36">
      <w:pPr>
        <w:pStyle w:val="ListParagraph"/>
        <w:numPr>
          <w:ilvl w:val="0"/>
          <w:numId w:val="18"/>
        </w:numPr>
        <w:spacing w:line="240" w:lineRule="auto"/>
        <w:rPr>
          <w:rFonts w:ascii="Times New Roman" w:hAnsi="Times New Roman"/>
          <w:bCs/>
          <w:sz w:val="24"/>
          <w:szCs w:val="24"/>
        </w:rPr>
      </w:pPr>
      <w:r>
        <w:rPr>
          <w:rFonts w:ascii="Times New Roman" w:hAnsi="Times New Roman"/>
          <w:bCs/>
          <w:i/>
          <w:sz w:val="24"/>
          <w:szCs w:val="24"/>
        </w:rPr>
        <w:t>Strong oxidizing agent</w:t>
      </w:r>
      <w:r w:rsidR="008A0158">
        <w:rPr>
          <w:rFonts w:ascii="Times New Roman" w:hAnsi="Times New Roman"/>
          <w:bCs/>
          <w:sz w:val="24"/>
          <w:szCs w:val="24"/>
        </w:rPr>
        <w:t xml:space="preserve"> -- </w:t>
      </w:r>
      <w:r w:rsidRPr="00920E36">
        <w:rPr>
          <w:rFonts w:ascii="Times New Roman" w:hAnsi="Times New Roman"/>
          <w:bCs/>
          <w:sz w:val="24"/>
          <w:szCs w:val="24"/>
        </w:rPr>
        <w:t>Nitric acid is an extremely corrosive acid and strong oxidizing agent.  It may be harmful if ingested, inhaled, or absorbed through the skin. It can cause severe skin and eye burns resulting in irreversible damage. It is extremely destructive to the tissue of the mucous membranes and the upper respiratory tract.</w:t>
      </w:r>
      <w:r>
        <w:rPr>
          <w:rFonts w:ascii="Times New Roman" w:hAnsi="Times New Roman"/>
          <w:bCs/>
          <w:sz w:val="24"/>
          <w:szCs w:val="24"/>
        </w:rPr>
        <w:t xml:space="preserve"> </w:t>
      </w:r>
      <w:r w:rsidRPr="00920E36">
        <w:rPr>
          <w:rFonts w:ascii="Times New Roman" w:hAnsi="Times New Roman"/>
          <w:bCs/>
          <w:sz w:val="24"/>
          <w:szCs w:val="24"/>
        </w:rPr>
        <w:t>As a strong oxidizing agent, it can cause violent explosions when combined with reducing agents</w:t>
      </w:r>
      <w:r>
        <w:rPr>
          <w:rFonts w:ascii="Times New Roman" w:hAnsi="Times New Roman"/>
          <w:bCs/>
          <w:sz w:val="24"/>
          <w:szCs w:val="24"/>
        </w:rPr>
        <w:t>.</w:t>
      </w:r>
      <w:r>
        <w:rPr>
          <w:rFonts w:ascii="Times New Roman" w:hAnsi="Times New Roman"/>
          <w:bCs/>
          <w:sz w:val="24"/>
          <w:szCs w:val="24"/>
        </w:rPr>
        <w:br/>
      </w:r>
    </w:p>
    <w:p w14:paraId="73F47DD2" w14:textId="6A4A69EA" w:rsidR="00920E36" w:rsidRDefault="00213C5A" w:rsidP="68F33289">
      <w:pPr>
        <w:pStyle w:val="ListParagraph"/>
        <w:numPr>
          <w:ilvl w:val="0"/>
          <w:numId w:val="18"/>
        </w:numPr>
        <w:spacing w:line="240" w:lineRule="auto"/>
        <w:rPr>
          <w:rFonts w:ascii="Times New Roman" w:hAnsi="Times New Roman"/>
          <w:sz w:val="24"/>
          <w:szCs w:val="24"/>
        </w:rPr>
      </w:pPr>
      <w:r w:rsidRPr="68F33289">
        <w:rPr>
          <w:rFonts w:ascii="Times New Roman" w:hAnsi="Times New Roman"/>
          <w:i/>
          <w:iCs/>
          <w:sz w:val="24"/>
          <w:szCs w:val="24"/>
        </w:rPr>
        <w:t xml:space="preserve">Highly Reactive </w:t>
      </w:r>
      <w:r w:rsidR="00920E36" w:rsidRPr="68F33289">
        <w:rPr>
          <w:rFonts w:ascii="Times New Roman" w:hAnsi="Times New Roman"/>
          <w:i/>
          <w:iCs/>
          <w:sz w:val="24"/>
          <w:szCs w:val="24"/>
        </w:rPr>
        <w:t xml:space="preserve">-- </w:t>
      </w:r>
      <w:r w:rsidR="00920E36" w:rsidRPr="68F33289">
        <w:rPr>
          <w:rFonts w:ascii="Times New Roman" w:hAnsi="Times New Roman"/>
          <w:sz w:val="24"/>
          <w:szCs w:val="24"/>
        </w:rPr>
        <w:t xml:space="preserve">As a strong oxidizing agent, it can cause violent explosions when combined with reducing agents such as organic solvents and reagents.  </w:t>
      </w:r>
      <w:proofErr w:type="gramStart"/>
      <w:r w:rsidR="00920E36" w:rsidRPr="68F33289">
        <w:rPr>
          <w:rFonts w:ascii="Times New Roman" w:hAnsi="Times New Roman"/>
          <w:sz w:val="24"/>
          <w:szCs w:val="24"/>
        </w:rPr>
        <w:t>Therefore</w:t>
      </w:r>
      <w:proofErr w:type="gramEnd"/>
      <w:r w:rsidR="00920E36" w:rsidRPr="68F33289">
        <w:rPr>
          <w:rFonts w:ascii="Times New Roman" w:hAnsi="Times New Roman"/>
          <w:sz w:val="24"/>
          <w:szCs w:val="24"/>
        </w:rPr>
        <w:t xml:space="preserve"> great care must be taken to store it separately from organic acids, flammable and combustible liquids (such as organic solvents), and organic reagents in general.  Nitric acid waste must also be segregated from all other organic waste.  </w:t>
      </w:r>
      <w:r w:rsidRPr="68F33289">
        <w:rPr>
          <w:rFonts w:ascii="Times New Roman" w:hAnsi="Times New Roman"/>
          <w:sz w:val="24"/>
          <w:szCs w:val="24"/>
        </w:rPr>
        <w:t xml:space="preserve">Mixing </w:t>
      </w:r>
      <w:r w:rsidR="00920E36" w:rsidRPr="68F33289">
        <w:rPr>
          <w:rFonts w:ascii="Times New Roman" w:hAnsi="Times New Roman"/>
          <w:sz w:val="24"/>
          <w:szCs w:val="24"/>
        </w:rPr>
        <w:t xml:space="preserve">of nitric acid waste with </w:t>
      </w:r>
      <w:r w:rsidRPr="68F33289">
        <w:rPr>
          <w:rFonts w:ascii="Times New Roman" w:hAnsi="Times New Roman"/>
          <w:sz w:val="24"/>
          <w:szCs w:val="24"/>
        </w:rPr>
        <w:t xml:space="preserve">incompatible </w:t>
      </w:r>
      <w:r w:rsidR="00920E36" w:rsidRPr="68F33289">
        <w:rPr>
          <w:rFonts w:ascii="Times New Roman" w:hAnsi="Times New Roman"/>
          <w:sz w:val="24"/>
          <w:szCs w:val="24"/>
        </w:rPr>
        <w:t xml:space="preserve">waste streams is a major cause of </w:t>
      </w:r>
      <w:r w:rsidR="57F82617" w:rsidRPr="68F33289">
        <w:rPr>
          <w:rFonts w:ascii="Times New Roman" w:hAnsi="Times New Roman"/>
          <w:sz w:val="24"/>
          <w:szCs w:val="24"/>
        </w:rPr>
        <w:t>laboratory incidents</w:t>
      </w:r>
      <w:r w:rsidR="00920E36" w:rsidRPr="68F33289">
        <w:rPr>
          <w:rFonts w:ascii="Times New Roman" w:hAnsi="Times New Roman"/>
          <w:sz w:val="24"/>
          <w:szCs w:val="24"/>
        </w:rPr>
        <w:t>.</w:t>
      </w:r>
      <w:r>
        <w:br/>
      </w:r>
    </w:p>
    <w:p w14:paraId="69C86FD1" w14:textId="77777777" w:rsidR="005C3A4B" w:rsidRPr="005C3A4B" w:rsidRDefault="005C3A4B" w:rsidP="005C3A4B">
      <w:pPr>
        <w:spacing w:line="240" w:lineRule="auto"/>
        <w:rPr>
          <w:rFonts w:ascii="Times New Roman" w:hAnsi="Times New Roman"/>
          <w:bCs/>
          <w:sz w:val="24"/>
          <w:szCs w:val="24"/>
        </w:rPr>
      </w:pP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lastRenderedPageBreak/>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38303AA4" w:rsidR="00BF4B1F" w:rsidRDefault="00C653D0" w:rsidP="00BF4B1F">
      <w:pPr>
        <w:spacing w:line="240" w:lineRule="auto"/>
        <w:rPr>
          <w:rFonts w:ascii="Times New Roman" w:hAnsi="Times New Roman" w:cs="Times New Roman"/>
          <w:sz w:val="24"/>
          <w:szCs w:val="24"/>
        </w:rPr>
      </w:pPr>
      <w:r>
        <w:rPr>
          <w:rFonts w:ascii="Times New Roman" w:hAnsi="Times New Roman" w:cs="Times New Roman"/>
          <w:sz w:val="24"/>
          <w:szCs w:val="24"/>
        </w:rPr>
        <w:t>Nitric acid</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344F2EAA"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C653D0">
        <w:rPr>
          <w:rFonts w:ascii="Times New Roman" w:hAnsi="Times New Roman" w:cs="Times New Roman"/>
          <w:sz w:val="24"/>
          <w:szCs w:val="24"/>
        </w:rPr>
        <w:t>nitric acid</w:t>
      </w:r>
      <w:r>
        <w:rPr>
          <w:rFonts w:ascii="Times New Roman" w:hAnsi="Times New Roman" w:cs="Times New Roman"/>
          <w:sz w:val="24"/>
          <w:szCs w:val="24"/>
        </w:rPr>
        <w:t xml:space="preserve"> must be trained on the hazards of </w:t>
      </w:r>
      <w:r w:rsidR="00C653D0">
        <w:rPr>
          <w:rFonts w:ascii="Times New Roman" w:hAnsi="Times New Roman" w:cs="Times New Roman"/>
          <w:sz w:val="24"/>
          <w:szCs w:val="24"/>
        </w:rPr>
        <w:t>nitric acid</w:t>
      </w:r>
      <w:r>
        <w:rPr>
          <w:rFonts w:ascii="Times New Roman" w:hAnsi="Times New Roman" w:cs="Times New Roman"/>
          <w:sz w:val="24"/>
          <w:szCs w:val="24"/>
        </w:rPr>
        <w:t>, including being familiar with this SOP (Administrative Control).</w:t>
      </w:r>
    </w:p>
    <w:p w14:paraId="288DA213" w14:textId="7EEDE1FF"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560847">
        <w:rPr>
          <w:rFonts w:ascii="Times New Roman" w:hAnsi="Times New Roman" w:cs="Times New Roman"/>
          <w:sz w:val="24"/>
          <w:szCs w:val="24"/>
        </w:rPr>
        <w:t>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C653D0">
        <w:rPr>
          <w:rFonts w:ascii="Times New Roman" w:hAnsi="Times New Roman" w:cs="Times New Roman"/>
          <w:sz w:val="24"/>
          <w:szCs w:val="24"/>
        </w:rPr>
        <w:t>nitric acid</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34E3CFC8" w14:textId="526E88D7"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Hand Protection</w:t>
      </w:r>
      <w:r w:rsidRPr="00BF67A3">
        <w:rPr>
          <w:rFonts w:ascii="Times New Roman" w:eastAsia="Calibri" w:hAnsi="Times New Roman" w:cs="Times New Roman"/>
          <w:sz w:val="24"/>
          <w:szCs w:val="24"/>
        </w:rPr>
        <w:t xml:space="preserve">: </w:t>
      </w:r>
      <w:r w:rsidR="00925977" w:rsidRPr="00925977">
        <w:rPr>
          <w:rFonts w:ascii="Times New Roman" w:eastAsia="Calibri" w:hAnsi="Times New Roman" w:cs="Times New Roman"/>
          <w:bCs/>
          <w:sz w:val="24"/>
          <w:szCs w:val="24"/>
        </w:rPr>
        <w:t>Neoprene gloves are acceptable for incidental exposure. Viton gloves are preferable if the loss of manual dexterity they cause is acceptable.</w:t>
      </w:r>
    </w:p>
    <w:p w14:paraId="22A6ECD9" w14:textId="77777777" w:rsidR="00BF67A3" w:rsidRPr="00BF67A3" w:rsidRDefault="00BF67A3" w:rsidP="00BF67A3">
      <w:pPr>
        <w:spacing w:after="0" w:line="240" w:lineRule="auto"/>
        <w:rPr>
          <w:rFonts w:ascii="Times New Roman" w:eastAsia="Calibri" w:hAnsi="Times New Roman" w:cs="Times New Roman"/>
          <w:sz w:val="24"/>
          <w:szCs w:val="24"/>
        </w:rPr>
      </w:pPr>
    </w:p>
    <w:p w14:paraId="78D8F55B" w14:textId="3BEDE507"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C653D0">
        <w:rPr>
          <w:rFonts w:ascii="Times New Roman" w:eastAsia="Calibri" w:hAnsi="Times New Roman" w:cs="Times New Roman"/>
          <w:bCs/>
          <w:sz w:val="24"/>
          <w:szCs w:val="24"/>
        </w:rPr>
        <w:t>nitric acid</w:t>
      </w:r>
      <w:r w:rsidRPr="00BF67A3">
        <w:rPr>
          <w:rFonts w:ascii="Times New Roman" w:eastAsia="Calibri" w:hAnsi="Times New Roman" w:cs="Times New Roman"/>
          <w:bCs/>
          <w:sz w:val="24"/>
          <w:szCs w:val="24"/>
        </w:rPr>
        <w:t>.</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09BB8110"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C653D0">
        <w:rPr>
          <w:rFonts w:ascii="Times New Roman" w:eastAsia="Calibri" w:hAnsi="Times New Roman" w:cs="Times New Roman"/>
          <w:bCs/>
          <w:sz w:val="24"/>
          <w:szCs w:val="24"/>
        </w:rPr>
        <w:t>nitric acid</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3D8CC724"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C653D0">
        <w:rPr>
          <w:rFonts w:ascii="Times New Roman" w:eastAsiaTheme="minorHAnsi" w:hAnsi="Times New Roman" w:cstheme="minorBidi"/>
          <w:bCs/>
          <w:sz w:val="24"/>
          <w:szCs w:val="24"/>
          <w:lang w:eastAsia="en-US"/>
        </w:rPr>
        <w:t>Nitric acid</w:t>
      </w:r>
      <w:r w:rsidRPr="00BF67A3">
        <w:rPr>
          <w:rFonts w:ascii="Times New Roman" w:eastAsiaTheme="minorHAnsi" w:hAnsi="Times New Roman" w:cstheme="minorBidi"/>
          <w:bCs/>
          <w:sz w:val="24"/>
          <w:szCs w:val="24"/>
          <w:lang w:eastAsia="en-US"/>
        </w:rPr>
        <w:t xml:space="preserve"> must only be used in the chemical fume hood. Do not open, pour, etc. </w:t>
      </w:r>
      <w:r w:rsidR="00C653D0">
        <w:rPr>
          <w:rFonts w:ascii="Times New Roman" w:eastAsiaTheme="minorHAnsi" w:hAnsi="Times New Roman" w:cstheme="minorBidi"/>
          <w:bCs/>
          <w:sz w:val="24"/>
          <w:szCs w:val="24"/>
          <w:lang w:eastAsia="en-US"/>
        </w:rPr>
        <w:t>nitric acid</w:t>
      </w:r>
      <w:r w:rsidRPr="00BF67A3">
        <w:rPr>
          <w:rFonts w:ascii="Times New Roman" w:eastAsiaTheme="minorHAnsi" w:hAnsi="Times New Roman" w:cstheme="minorBidi"/>
          <w:bCs/>
          <w:sz w:val="24"/>
          <w:szCs w:val="24"/>
          <w:lang w:eastAsia="en-US"/>
        </w:rPr>
        <w:t xml:space="preserve"> anywhere other than the chemical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5E501262"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Procedures for</w:t>
      </w:r>
      <w:r w:rsidR="00920E36">
        <w:rPr>
          <w:rFonts w:ascii="Times New Roman" w:hAnsi="Times New Roman"/>
          <w:b/>
          <w:sz w:val="24"/>
          <w:szCs w:val="24"/>
        </w:rPr>
        <w:t xml:space="preserve"> </w:t>
      </w:r>
      <w:r w:rsidR="00C653D0">
        <w:rPr>
          <w:rFonts w:ascii="Times New Roman" w:hAnsi="Times New Roman"/>
          <w:b/>
          <w:sz w:val="24"/>
          <w:szCs w:val="24"/>
        </w:rPr>
        <w:t>Nitric acid</w:t>
      </w:r>
      <w:r w:rsidR="00920E36">
        <w:rPr>
          <w:rFonts w:ascii="Times New Roman" w:hAnsi="Times New Roman"/>
          <w:b/>
          <w:sz w:val="24"/>
          <w:szCs w:val="24"/>
        </w:rPr>
        <w:t xml:space="preserve"> Handling and Storage</w:t>
      </w:r>
      <w:r w:rsidR="00A83349" w:rsidRPr="00BF67A3">
        <w:rPr>
          <w:rFonts w:ascii="Times New Roman" w:hAnsi="Times New Roman"/>
          <w:b/>
          <w:sz w:val="24"/>
          <w:szCs w:val="24"/>
        </w:rPr>
        <w:t xml:space="preserve">: </w:t>
      </w:r>
    </w:p>
    <w:p w14:paraId="3145E949" w14:textId="68A5112B" w:rsidR="00920E36" w:rsidRPr="00920E36" w:rsidRDefault="00920E36" w:rsidP="00920E36">
      <w:pPr>
        <w:spacing w:after="120"/>
        <w:rPr>
          <w:rFonts w:ascii="Times New Roman" w:eastAsia="Calibri" w:hAnsi="Times New Roman" w:cs="Times New Roman"/>
          <w:sz w:val="24"/>
          <w:szCs w:val="24"/>
        </w:rPr>
      </w:pPr>
      <w:r w:rsidRPr="00920E36">
        <w:rPr>
          <w:rFonts w:ascii="Times New Roman" w:eastAsia="Calibri" w:hAnsi="Times New Roman" w:cs="Times New Roman"/>
          <w:sz w:val="24"/>
          <w:szCs w:val="24"/>
        </w:rPr>
        <w:t>Nitric acid can be only used in areas properly equipped with a certified eye wash/safety shower that can be reached within ten seconds.  It is essential that all strong oxidizers be stored separately from other laboratory chemicals with which they may react.  For oxidizing acids such as nitric acid</w:t>
      </w:r>
      <w:r w:rsidR="00213C5A">
        <w:rPr>
          <w:rFonts w:ascii="Times New Roman" w:eastAsia="Calibri" w:hAnsi="Times New Roman" w:cs="Times New Roman"/>
          <w:sz w:val="24"/>
          <w:szCs w:val="24"/>
        </w:rPr>
        <w:t>,</w:t>
      </w:r>
      <w:r w:rsidRPr="00920E36">
        <w:rPr>
          <w:rFonts w:ascii="Times New Roman" w:eastAsia="Calibri" w:hAnsi="Times New Roman" w:cs="Times New Roman"/>
          <w:sz w:val="24"/>
          <w:szCs w:val="24"/>
        </w:rPr>
        <w:t xml:space="preserve"> this includes all organic materials. Ensure secondary containment and segregation of incompatible chemicals. Also, follow any substance-specific storage guidance provided in Safety Data Sheet (SDS) documentation.</w:t>
      </w:r>
    </w:p>
    <w:p w14:paraId="1034DC72" w14:textId="0DFBB54A" w:rsidR="00920E36" w:rsidRPr="00920E36" w:rsidRDefault="00920E36" w:rsidP="00920E36">
      <w:pPr>
        <w:spacing w:after="120"/>
        <w:rPr>
          <w:rFonts w:ascii="Times New Roman" w:eastAsia="Calibri" w:hAnsi="Times New Roman" w:cs="Times New Roman"/>
          <w:sz w:val="24"/>
          <w:szCs w:val="24"/>
        </w:rPr>
      </w:pPr>
      <w:r w:rsidRPr="00920E36">
        <w:rPr>
          <w:rFonts w:ascii="Times New Roman" w:eastAsia="Calibri" w:hAnsi="Times New Roman" w:cs="Times New Roman"/>
          <w:sz w:val="24"/>
          <w:szCs w:val="24"/>
        </w:rPr>
        <w:t>The corrosive properties of nitric acid and its ability to produce fires or explosions by combination with combustible materials make the following considerations mandatory in the selection of a storage site:</w:t>
      </w:r>
    </w:p>
    <w:p w14:paraId="3DE3D074" w14:textId="1AC18AEF"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A relatively cool, dry environment free from extremes of temperature--humidity should be maintained.</w:t>
      </w:r>
    </w:p>
    <w:p w14:paraId="67C0C60F" w14:textId="77777777"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Store in a material that is acid-resistant; this facilitates flushing and other cleanup procedures in the event of leaks or spills.</w:t>
      </w:r>
    </w:p>
    <w:p w14:paraId="32575696" w14:textId="7A514499"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Store on low shelves or in “Corrosives” storage cabinets.</w:t>
      </w:r>
      <w:r w:rsidRPr="00920E36">
        <w:rPr>
          <w:rFonts w:ascii="Times New Roman" w:hAnsi="Times New Roman"/>
          <w:sz w:val="24"/>
          <w:szCs w:val="24"/>
        </w:rPr>
        <w:tab/>
      </w:r>
    </w:p>
    <w:p w14:paraId="5BA18F7C" w14:textId="46F66008" w:rsidR="00920E36" w:rsidRPr="007449C3" w:rsidRDefault="00920E36" w:rsidP="00920E36">
      <w:pPr>
        <w:pStyle w:val="ListParagraph"/>
        <w:numPr>
          <w:ilvl w:val="1"/>
          <w:numId w:val="13"/>
        </w:numPr>
        <w:rPr>
          <w:rFonts w:ascii="Times New Roman" w:hAnsi="Times New Roman"/>
          <w:b/>
          <w:sz w:val="24"/>
          <w:szCs w:val="24"/>
        </w:rPr>
      </w:pPr>
      <w:r w:rsidRPr="00920E36">
        <w:rPr>
          <w:rFonts w:ascii="Times New Roman" w:hAnsi="Times New Roman"/>
          <w:sz w:val="24"/>
          <w:szCs w:val="24"/>
        </w:rPr>
        <w:t xml:space="preserve">Segregate nitric acid from organic acids, and flammable and combustible liquids.  </w:t>
      </w:r>
      <w:r w:rsidRPr="007449C3">
        <w:rPr>
          <w:rFonts w:ascii="Times New Roman" w:hAnsi="Times New Roman"/>
          <w:b/>
          <w:sz w:val="24"/>
          <w:szCs w:val="24"/>
        </w:rPr>
        <w:t>This is crucial to avoid fires/explosions</w:t>
      </w:r>
      <w:r w:rsidR="007449C3" w:rsidRPr="007449C3">
        <w:rPr>
          <w:rFonts w:ascii="Times New Roman" w:hAnsi="Times New Roman"/>
          <w:b/>
          <w:sz w:val="24"/>
          <w:szCs w:val="24"/>
        </w:rPr>
        <w:t>.</w:t>
      </w:r>
    </w:p>
    <w:p w14:paraId="600A5D77" w14:textId="77777777"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Segregate all acids from active metals such as sodium, potassium, magnesium, etc.</w:t>
      </w:r>
    </w:p>
    <w:p w14:paraId="08B07AC5" w14:textId="77777777"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Use bottle carriers for transporting materials when possible.</w:t>
      </w:r>
    </w:p>
    <w:p w14:paraId="7562978D" w14:textId="74CEE7F2"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lastRenderedPageBreak/>
        <w:t xml:space="preserve">When mixing acids and water, always add acid to water. To avoid surface boiling/spattering, </w:t>
      </w:r>
      <w:r w:rsidRPr="007449C3">
        <w:rPr>
          <w:rFonts w:ascii="Times New Roman" w:hAnsi="Times New Roman"/>
          <w:b/>
          <w:sz w:val="24"/>
          <w:szCs w:val="24"/>
        </w:rPr>
        <w:t>NEVER add water to acid</w:t>
      </w:r>
      <w:r w:rsidR="007449C3">
        <w:rPr>
          <w:rFonts w:ascii="Times New Roman" w:hAnsi="Times New Roman"/>
          <w:sz w:val="24"/>
          <w:szCs w:val="24"/>
        </w:rPr>
        <w:t>.</w:t>
      </w:r>
    </w:p>
    <w:p w14:paraId="625D0112" w14:textId="77777777"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Store mineral acids together, separate from oxidizing agents and organic materials.</w:t>
      </w:r>
    </w:p>
    <w:p w14:paraId="24FEEB54" w14:textId="77777777" w:rsidR="00920E36" w:rsidRPr="00920E36" w:rsidRDefault="00920E36"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rPr>
        <w:t>Store acetic acid and other organic acids with the combustible organic liquids.</w:t>
      </w:r>
    </w:p>
    <w:p w14:paraId="70E255C2" w14:textId="29154C8B" w:rsidR="00676C7A" w:rsidRPr="00920E36" w:rsidRDefault="00440243"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highlight w:val="yellow"/>
        </w:rPr>
        <w:t>As they deem necessary, the PI/supervisor should insert here any information about whether a special use-area is designated for this material/process</w:t>
      </w:r>
      <w:r w:rsidRPr="00920E36">
        <w:rPr>
          <w:rFonts w:ascii="Times New Roman" w:hAnsi="Times New Roman"/>
          <w:sz w:val="24"/>
          <w:szCs w:val="24"/>
        </w:rPr>
        <w:t xml:space="preserve">.  </w:t>
      </w:r>
    </w:p>
    <w:p w14:paraId="0ADAED44" w14:textId="4C330176" w:rsidR="00B2317C" w:rsidRPr="00B2317C" w:rsidRDefault="00676C7A" w:rsidP="00B2317C">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B2317C">
        <w:rPr>
          <w:rFonts w:ascii="Times New Roman" w:hAnsi="Times New Roman"/>
          <w:sz w:val="24"/>
          <w:szCs w:val="24"/>
        </w:rPr>
        <w:br/>
      </w:r>
    </w:p>
    <w:p w14:paraId="07906D82" w14:textId="666426D5" w:rsidR="005C3A4B" w:rsidRPr="005C3A4B" w:rsidRDefault="00B2317C" w:rsidP="005C3A4B">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 xml:space="preserve">Chemical </w:t>
      </w:r>
      <w:r w:rsidR="005C3A4B">
        <w:rPr>
          <w:rFonts w:ascii="Times New Roman" w:hAnsi="Times New Roman"/>
          <w:b/>
          <w:bCs/>
          <w:sz w:val="24"/>
          <w:szCs w:val="24"/>
        </w:rPr>
        <w:t xml:space="preserve">Decontamination &amp; </w:t>
      </w:r>
      <w:r w:rsidRPr="00B2317C">
        <w:rPr>
          <w:rFonts w:ascii="Times New Roman" w:hAnsi="Times New Roman"/>
          <w:b/>
          <w:bCs/>
          <w:sz w:val="24"/>
          <w:szCs w:val="24"/>
        </w:rPr>
        <w:t>Dis</w:t>
      </w:r>
      <w:r>
        <w:rPr>
          <w:rFonts w:ascii="Times New Roman" w:hAnsi="Times New Roman"/>
          <w:b/>
          <w:bCs/>
          <w:sz w:val="24"/>
          <w:szCs w:val="24"/>
        </w:rPr>
        <w:t>posal</w:t>
      </w:r>
    </w:p>
    <w:p w14:paraId="4019CB80" w14:textId="1496334B" w:rsidR="002B5DC4" w:rsidRPr="005C3A4B" w:rsidRDefault="005C3A4B" w:rsidP="005C3A4B">
      <w:pPr>
        <w:spacing w:line="240" w:lineRule="auto"/>
        <w:rPr>
          <w:rFonts w:ascii="Times New Roman" w:hAnsi="Times New Roman"/>
          <w:b/>
          <w:bCs/>
          <w:sz w:val="24"/>
          <w:szCs w:val="24"/>
        </w:rPr>
      </w:pPr>
      <w:r w:rsidRPr="005C3A4B">
        <w:rPr>
          <w:rFonts w:ascii="Times New Roman" w:hAnsi="Times New Roman"/>
          <w:sz w:val="24"/>
          <w:szCs w:val="24"/>
        </w:rPr>
        <w:t>Using proper personal protective equipment as outlined above, decontaminate equipment and bench tops using soap and water and properly dispose of all chemical and contaminated disposables as hazardous waste following the guidelines below.</w:t>
      </w:r>
      <w:r w:rsidRPr="005C3A4B">
        <w:rPr>
          <w:rFonts w:ascii="Times New Roman" w:hAnsi="Times New Roman"/>
          <w:sz w:val="24"/>
          <w:szCs w:val="24"/>
        </w:rPr>
        <w:br/>
      </w:r>
      <w:r w:rsidRPr="005C3A4B">
        <w:rPr>
          <w:rFonts w:ascii="Times New Roman" w:hAnsi="Times New Roman"/>
          <w:sz w:val="24"/>
          <w:szCs w:val="24"/>
        </w:rPr>
        <w:br/>
        <w:t xml:space="preserve">All </w:t>
      </w:r>
      <w:r w:rsidR="00295793" w:rsidRPr="005C3A4B">
        <w:rPr>
          <w:rFonts w:ascii="Times New Roman" w:hAnsi="Times New Roman"/>
          <w:sz w:val="24"/>
          <w:szCs w:val="24"/>
        </w:rPr>
        <w:t xml:space="preserve">chemical waste must be disposed of </w:t>
      </w:r>
      <w:r w:rsidR="000F3757" w:rsidRPr="005C3A4B">
        <w:rPr>
          <w:rFonts w:ascii="Times New Roman" w:hAnsi="Times New Roman"/>
          <w:sz w:val="24"/>
          <w:szCs w:val="24"/>
        </w:rPr>
        <w:t xml:space="preserve">in accordance with Federal and State regulations </w:t>
      </w:r>
      <w:r w:rsidR="00295793" w:rsidRPr="005C3A4B">
        <w:rPr>
          <w:rFonts w:ascii="Times New Roman" w:hAnsi="Times New Roman"/>
          <w:sz w:val="24"/>
          <w:szCs w:val="24"/>
        </w:rPr>
        <w:t xml:space="preserve">and UNM's Chemical Hygiene Plan. </w:t>
      </w:r>
      <w:r w:rsidR="00C653D0">
        <w:rPr>
          <w:rFonts w:ascii="Times New Roman" w:hAnsi="Times New Roman"/>
          <w:sz w:val="24"/>
          <w:szCs w:val="24"/>
        </w:rPr>
        <w:t>Nitric acid</w:t>
      </w:r>
      <w:r w:rsidR="002776CD" w:rsidRPr="005C3A4B">
        <w:rPr>
          <w:rFonts w:ascii="Times New Roman" w:hAnsi="Times New Roman"/>
          <w:sz w:val="24"/>
          <w:szCs w:val="24"/>
        </w:rPr>
        <w:t xml:space="preserve"> </w:t>
      </w:r>
      <w:r w:rsidR="00295793" w:rsidRPr="005C3A4B">
        <w:rPr>
          <w:rFonts w:ascii="Times New Roman" w:hAnsi="Times New Roman"/>
          <w:sz w:val="24"/>
          <w:szCs w:val="24"/>
        </w:rPr>
        <w:t xml:space="preserve">and </w:t>
      </w:r>
      <w:r w:rsidR="00C653D0">
        <w:rPr>
          <w:rFonts w:ascii="Times New Roman" w:hAnsi="Times New Roman"/>
          <w:sz w:val="24"/>
          <w:szCs w:val="24"/>
        </w:rPr>
        <w:t>nitric acid</w:t>
      </w:r>
      <w:r w:rsidR="00295793" w:rsidRPr="005C3A4B">
        <w:rPr>
          <w:rFonts w:ascii="Times New Roman" w:hAnsi="Times New Roman"/>
          <w:sz w:val="24"/>
          <w:szCs w:val="24"/>
        </w:rPr>
        <w:t xml:space="preserve">-containing wastes should be </w:t>
      </w:r>
      <w:r w:rsidR="00382153" w:rsidRPr="005C3A4B">
        <w:rPr>
          <w:rFonts w:ascii="Times New Roman" w:hAnsi="Times New Roman"/>
          <w:sz w:val="24"/>
          <w:szCs w:val="24"/>
        </w:rPr>
        <w:t xml:space="preserve">collected in suitable containers and </w:t>
      </w:r>
      <w:r w:rsidR="002B5DC4" w:rsidRPr="005C3A4B">
        <w:rPr>
          <w:rFonts w:ascii="Times New Roman" w:hAnsi="Times New Roman"/>
          <w:sz w:val="24"/>
          <w:szCs w:val="24"/>
        </w:rPr>
        <w:t xml:space="preserve">properly labeled as soon as waste is added to the containers. </w:t>
      </w:r>
      <w:r w:rsidR="00C653D0">
        <w:rPr>
          <w:rFonts w:ascii="Times New Roman" w:hAnsi="Times New Roman"/>
          <w:sz w:val="24"/>
          <w:szCs w:val="24"/>
        </w:rPr>
        <w:t>Nitric acid</w:t>
      </w:r>
      <w:r w:rsidR="002B5DC4" w:rsidRPr="005C3A4B">
        <w:rPr>
          <w:rFonts w:ascii="Times New Roman" w:hAnsi="Times New Roman"/>
          <w:sz w:val="24"/>
          <w:szCs w:val="24"/>
        </w:rPr>
        <w:t xml:space="preserve"> waste should be labeled as such:</w:t>
      </w:r>
    </w:p>
    <w:p w14:paraId="23941640" w14:textId="521A6619" w:rsidR="002B5DC4" w:rsidRPr="00920E36" w:rsidRDefault="002B5DC4" w:rsidP="00920E36">
      <w:pPr>
        <w:spacing w:after="0" w:line="240" w:lineRule="auto"/>
        <w:rPr>
          <w:rFonts w:ascii="Times New Roman" w:hAnsi="Times New Roman" w:cs="Times New Roman"/>
          <w:b/>
          <w:sz w:val="24"/>
          <w:szCs w:val="24"/>
        </w:rPr>
      </w:pPr>
      <w:r w:rsidRPr="00920E36">
        <w:rPr>
          <w:rFonts w:ascii="Times New Roman" w:hAnsi="Times New Roman" w:cs="Times New Roman"/>
          <w:b/>
          <w:sz w:val="24"/>
          <w:szCs w:val="24"/>
        </w:rPr>
        <w:t>HAZARDOUS WASTE</w:t>
      </w:r>
    </w:p>
    <w:p w14:paraId="59CBAD83" w14:textId="6819916A" w:rsidR="002B5DC4" w:rsidRPr="00920E36" w:rsidRDefault="00C653D0" w:rsidP="00920E36">
      <w:pPr>
        <w:spacing w:after="0" w:line="240" w:lineRule="auto"/>
        <w:rPr>
          <w:rFonts w:ascii="Times New Roman" w:hAnsi="Times New Roman" w:cs="Times New Roman"/>
          <w:b/>
          <w:sz w:val="24"/>
          <w:szCs w:val="24"/>
        </w:rPr>
      </w:pPr>
      <w:r>
        <w:rPr>
          <w:rFonts w:ascii="Times New Roman" w:hAnsi="Times New Roman" w:cs="Times New Roman"/>
          <w:b/>
          <w:sz w:val="24"/>
          <w:szCs w:val="24"/>
        </w:rPr>
        <w:t>Nitric Acid</w:t>
      </w:r>
      <w:r w:rsidR="002B5DC4" w:rsidRPr="00920E36">
        <w:rPr>
          <w:rFonts w:ascii="Times New Roman" w:hAnsi="Times New Roman" w:cs="Times New Roman"/>
          <w:b/>
          <w:sz w:val="24"/>
          <w:szCs w:val="24"/>
        </w:rPr>
        <w:t xml:space="preserve"> waste</w:t>
      </w:r>
    </w:p>
    <w:p w14:paraId="2BA4C7D0" w14:textId="02F6F7E4" w:rsidR="002B5DC4" w:rsidRDefault="00213C5A" w:rsidP="00920E36">
      <w:pPr>
        <w:spacing w:after="0" w:line="240" w:lineRule="auto"/>
        <w:rPr>
          <w:rFonts w:ascii="Times New Roman" w:hAnsi="Times New Roman" w:cs="Times New Roman"/>
          <w:sz w:val="24"/>
          <w:szCs w:val="24"/>
        </w:rPr>
      </w:pPr>
      <w:r>
        <w:rPr>
          <w:rFonts w:ascii="Times New Roman" w:hAnsi="Times New Roman" w:cs="Times New Roman"/>
          <w:b/>
          <w:sz w:val="24"/>
          <w:szCs w:val="24"/>
        </w:rPr>
        <w:t>Corrosive &amp; Reactive</w:t>
      </w:r>
      <w:r w:rsidR="000F3757">
        <w:rPr>
          <w:rFonts w:ascii="Times New Roman" w:hAnsi="Times New Roman" w:cs="Times New Roman"/>
          <w:sz w:val="24"/>
          <w:szCs w:val="24"/>
        </w:rPr>
        <w:br/>
      </w:r>
    </w:p>
    <w:p w14:paraId="3DE009C9" w14:textId="2841D19C" w:rsidR="002B5DC4" w:rsidRDefault="002B5DC4" w:rsidP="00725125">
      <w:pPr>
        <w:spacing w:line="240" w:lineRule="auto"/>
        <w:rPr>
          <w:rFonts w:ascii="Times New Roman" w:hAnsi="Times New Roman" w:cs="Times New Roman"/>
          <w:sz w:val="24"/>
          <w:szCs w:val="24"/>
        </w:rPr>
      </w:pPr>
      <w:r>
        <w:rPr>
          <w:rFonts w:ascii="Times New Roman" w:hAnsi="Times New Roman" w:cs="Times New Roman"/>
          <w:sz w:val="24"/>
          <w:szCs w:val="24"/>
        </w:rPr>
        <w:t>*</w:t>
      </w:r>
      <w:r w:rsidR="00213C5A" w:rsidDel="00213C5A">
        <w:rPr>
          <w:rFonts w:ascii="Times New Roman" w:hAnsi="Times New Roman" w:cs="Times New Roman"/>
          <w:sz w:val="24"/>
          <w:szCs w:val="24"/>
        </w:rPr>
        <w:t xml:space="preserve"> </w:t>
      </w:r>
      <w:r w:rsidR="005C3A4B" w:rsidRPr="005C3A4B">
        <w:rPr>
          <w:rFonts w:ascii="Times New Roman" w:hAnsi="Times New Roman" w:cs="Times New Roman"/>
          <w:b/>
          <w:bCs/>
          <w:sz w:val="24"/>
          <w:szCs w:val="24"/>
        </w:rPr>
        <w:t>It is crucial to avoid mixing nitric acid waste with organic waste of any kind.  Nitric acid waste containers should be clearly marked as such to avoid accidental addition of any reducible materials.  Failure to do this will cause a violent explosion.</w:t>
      </w:r>
    </w:p>
    <w:p w14:paraId="03E73A14" w14:textId="15CDBDD4" w:rsidR="00295793"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C653D0">
        <w:rPr>
          <w:rFonts w:ascii="Times New Roman" w:hAnsi="Times New Roman" w:cs="Times New Roman"/>
          <w:sz w:val="24"/>
          <w:szCs w:val="24"/>
        </w:rPr>
        <w:t>nitric acid</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49A1DD0C"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w:t>
      </w:r>
      <w:r w:rsidR="00C653D0">
        <w:rPr>
          <w:rFonts w:ascii="Times New Roman" w:hAnsi="Times New Roman" w:cs="Times New Roman"/>
          <w:sz w:val="24"/>
          <w:szCs w:val="24"/>
        </w:rPr>
        <w:t>nitric acid</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5C61B262"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C653D0">
        <w:rPr>
          <w:rFonts w:ascii="Times New Roman" w:hAnsi="Times New Roman" w:cs="Times New Roman"/>
          <w:sz w:val="24"/>
          <w:szCs w:val="24"/>
        </w:rPr>
        <w:t>nitric acid</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C653D0">
        <w:rPr>
          <w:rFonts w:ascii="Times New Roman" w:hAnsi="Times New Roman" w:cs="Times New Roman"/>
          <w:sz w:val="24"/>
          <w:szCs w:val="24"/>
        </w:rPr>
        <w:t>nitric acid</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55A915B" w14:textId="7A3F7B56" w:rsidR="007449C3" w:rsidRPr="00D47D4B" w:rsidRDefault="00385541" w:rsidP="00966F97">
      <w:pPr>
        <w:pStyle w:val="ListParagraph"/>
        <w:numPr>
          <w:ilvl w:val="0"/>
          <w:numId w:val="21"/>
        </w:numPr>
        <w:spacing w:line="240" w:lineRule="auto"/>
        <w:rPr>
          <w:rFonts w:ascii="Times New Roman" w:eastAsiaTheme="minorHAnsi" w:hAnsi="Times New Roman" w:cstheme="minorBidi"/>
          <w:sz w:val="24"/>
          <w:szCs w:val="24"/>
          <w:lang w:eastAsia="en-US"/>
        </w:rPr>
      </w:pPr>
      <w:r w:rsidRPr="00D47D4B">
        <w:rPr>
          <w:rFonts w:ascii="Times New Roman" w:hAnsi="Times New Roman"/>
          <w:sz w:val="24"/>
          <w:szCs w:val="24"/>
        </w:rPr>
        <w:t>EH&amp;S</w:t>
      </w:r>
      <w:r w:rsidR="0048129E" w:rsidRPr="00D47D4B">
        <w:rPr>
          <w:rFonts w:ascii="Times New Roman" w:hAnsi="Times New Roman"/>
          <w:sz w:val="24"/>
          <w:szCs w:val="24"/>
        </w:rPr>
        <w:t xml:space="preserve"> Duty Officer Pager -- 505-951-0194 (enter your phone number after the message)</w:t>
      </w:r>
      <w:r w:rsidR="00B30EE9" w:rsidRPr="00D47D4B">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542FD1A6" w14:textId="5914072E" w:rsidR="00CC2FF5" w:rsidRPr="008A0158" w:rsidRDefault="0048129E">
      <w:pPr>
        <w:pStyle w:val="NoSpacing"/>
        <w:rPr>
          <w:rFonts w:ascii="Times New Roman" w:hAnsi="Times New Roman"/>
          <w:sz w:val="24"/>
          <w:szCs w:val="24"/>
        </w:rPr>
      </w:pPr>
      <w:r>
        <w:rPr>
          <w:rFonts w:ascii="Times New Roman" w:hAnsi="Times New Roman"/>
          <w:sz w:val="24"/>
          <w:szCs w:val="24"/>
        </w:rPr>
        <w:t>In the event of a</w:t>
      </w:r>
      <w:r w:rsidR="00925977">
        <w:rPr>
          <w:rFonts w:ascii="Times New Roman" w:hAnsi="Times New Roman"/>
          <w:sz w:val="24"/>
          <w:szCs w:val="24"/>
        </w:rPr>
        <w:t xml:space="preserve"> </w:t>
      </w:r>
      <w:r w:rsidR="00C653D0">
        <w:rPr>
          <w:rFonts w:ascii="Times New Roman" w:hAnsi="Times New Roman"/>
          <w:sz w:val="24"/>
          <w:szCs w:val="24"/>
        </w:rPr>
        <w:t>nitric acid</w:t>
      </w:r>
      <w:r w:rsidR="00925977">
        <w:rPr>
          <w:rFonts w:ascii="Times New Roman" w:hAnsi="Times New Roman"/>
          <w:sz w:val="24"/>
          <w:szCs w:val="24"/>
        </w:rPr>
        <w:t xml:space="preserve"> </w:t>
      </w:r>
      <w:r>
        <w:rPr>
          <w:rFonts w:ascii="Times New Roman" w:hAnsi="Times New Roman"/>
          <w:sz w:val="24"/>
          <w:szCs w:val="24"/>
        </w:rPr>
        <w:t xml:space="preserve">exposure, </w:t>
      </w:r>
      <w:r w:rsidR="00823A55">
        <w:rPr>
          <w:rFonts w:ascii="Times New Roman" w:hAnsi="Times New Roman"/>
          <w:sz w:val="24"/>
          <w:szCs w:val="24"/>
        </w:rPr>
        <w:t>seek immediate medical attention.</w:t>
      </w:r>
    </w:p>
    <w:p w14:paraId="723A75FA" w14:textId="65D794F6" w:rsidR="00CC2FF5" w:rsidRDefault="00CC2FF5" w:rsidP="001C3D93">
      <w:pPr>
        <w:pStyle w:val="NoSpacing"/>
        <w:numPr>
          <w:ilvl w:val="0"/>
          <w:numId w:val="15"/>
        </w:numPr>
        <w:rPr>
          <w:rFonts w:ascii="Times New Roman" w:hAnsi="Times New Roman"/>
          <w:sz w:val="24"/>
          <w:szCs w:val="24"/>
        </w:rPr>
      </w:pPr>
      <w:bookmarkStart w:id="0" w:name="_Hlk69484265"/>
      <w:r>
        <w:rPr>
          <w:rFonts w:ascii="Times New Roman" w:hAnsi="Times New Roman"/>
          <w:sz w:val="24"/>
          <w:szCs w:val="24"/>
        </w:rPr>
        <w:lastRenderedPageBreak/>
        <w:t>Skin Contact and Eye Contact should be washed</w:t>
      </w:r>
      <w:r w:rsidR="006F4D26">
        <w:rPr>
          <w:rFonts w:ascii="Times New Roman" w:hAnsi="Times New Roman"/>
          <w:sz w:val="24"/>
          <w:szCs w:val="24"/>
        </w:rPr>
        <w:t xml:space="preserve"> immediately in safety shower or eyewash respectively</w:t>
      </w:r>
      <w:r>
        <w:rPr>
          <w:rFonts w:ascii="Times New Roman" w:hAnsi="Times New Roman"/>
          <w:sz w:val="24"/>
          <w:szCs w:val="24"/>
        </w:rPr>
        <w:t xml:space="preserve"> for 15 minutes.</w:t>
      </w:r>
    </w:p>
    <w:p w14:paraId="125A155A" w14:textId="00CE6917" w:rsidR="00CC2FF5" w:rsidRPr="00CC2FF5" w:rsidRDefault="00CC2FF5">
      <w:pPr>
        <w:pStyle w:val="NoSpacing"/>
        <w:numPr>
          <w:ilvl w:val="0"/>
          <w:numId w:val="15"/>
        </w:numPr>
        <w:rPr>
          <w:rFonts w:ascii="Times New Roman" w:hAnsi="Times New Roman"/>
          <w:sz w:val="24"/>
          <w:szCs w:val="24"/>
        </w:rPr>
      </w:pPr>
      <w:r>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bookmarkEnd w:id="0"/>
    </w:p>
    <w:p w14:paraId="00FAEE80" w14:textId="66B843BF" w:rsidR="00144C40"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r w:rsidR="000B7048" w:rsidRPr="008A0158">
        <w:rPr>
          <w:rFonts w:ascii="Times New Roman" w:hAnsi="Times New Roman"/>
          <w:sz w:val="24"/>
          <w:szCs w:val="24"/>
        </w:rPr>
        <w:t>.</w:t>
      </w:r>
    </w:p>
    <w:p w14:paraId="2EFA86FD" w14:textId="417F0D0E"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224B1B2" w14:textId="3F5D9494"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0419BE6C" w14:textId="2472001F" w:rsidR="001C3D93"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sidR="00385541">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7D5F36B7" w14:textId="362BBBCF" w:rsidR="0045541B" w:rsidRDefault="00CC2FF5" w:rsidP="0045541B">
      <w:pPr>
        <w:pStyle w:val="NoSpacing"/>
        <w:numPr>
          <w:ilvl w:val="0"/>
          <w:numId w:val="15"/>
        </w:numPr>
        <w:rPr>
          <w:rFonts w:ascii="Times New Roman" w:hAnsi="Times New Roman"/>
          <w:sz w:val="24"/>
          <w:szCs w:val="24"/>
        </w:rPr>
      </w:pPr>
      <w:bookmarkStart w:id="1" w:name="_Hlk69484310"/>
      <w:r>
        <w:rPr>
          <w:rFonts w:ascii="Times New Roman" w:hAnsi="Times New Roman"/>
          <w:sz w:val="24"/>
          <w:szCs w:val="24"/>
        </w:rPr>
        <w:t xml:space="preserve">The notice of Accident, Incident, or </w:t>
      </w:r>
      <w:r w:rsidR="006F4D26">
        <w:rPr>
          <w:rFonts w:ascii="Times New Roman" w:hAnsi="Times New Roman"/>
          <w:sz w:val="24"/>
          <w:szCs w:val="24"/>
        </w:rPr>
        <w:t>S</w:t>
      </w:r>
      <w:r>
        <w:rPr>
          <w:rFonts w:ascii="Times New Roman" w:hAnsi="Times New Roman"/>
          <w:sz w:val="24"/>
          <w:szCs w:val="24"/>
        </w:rPr>
        <w:t xml:space="preserve">pill form should be filled out on </w:t>
      </w:r>
      <w:r w:rsidR="0045541B">
        <w:rPr>
          <w:rFonts w:ascii="Times New Roman" w:hAnsi="Times New Roman"/>
          <w:sz w:val="24"/>
          <w:szCs w:val="24"/>
        </w:rPr>
        <w:t xml:space="preserve">the </w:t>
      </w:r>
      <w:r>
        <w:rPr>
          <w:rFonts w:ascii="Times New Roman" w:hAnsi="Times New Roman"/>
          <w:sz w:val="24"/>
          <w:szCs w:val="24"/>
        </w:rPr>
        <w:t>EH</w:t>
      </w:r>
      <w:r w:rsidR="0045541B">
        <w:rPr>
          <w:rFonts w:ascii="Times New Roman" w:hAnsi="Times New Roman"/>
          <w:sz w:val="24"/>
          <w:szCs w:val="24"/>
        </w:rPr>
        <w:t>&amp;S</w:t>
      </w:r>
      <w:r>
        <w:rPr>
          <w:rFonts w:ascii="Times New Roman" w:hAnsi="Times New Roman"/>
          <w:sz w:val="24"/>
          <w:szCs w:val="24"/>
        </w:rPr>
        <w:t xml:space="preserve"> </w:t>
      </w:r>
      <w:r w:rsidR="0045541B">
        <w:rPr>
          <w:rFonts w:ascii="Times New Roman" w:hAnsi="Times New Roman"/>
          <w:sz w:val="24"/>
          <w:szCs w:val="24"/>
        </w:rPr>
        <w:t>website.</w:t>
      </w:r>
    </w:p>
    <w:bookmarkEnd w:id="1"/>
    <w:p w14:paraId="359C56DA" w14:textId="32015555" w:rsidR="00144C40" w:rsidRPr="008A0158" w:rsidRDefault="0045541B" w:rsidP="00920E36">
      <w:pPr>
        <w:pStyle w:val="NoSpacing"/>
        <w:ind w:left="1080"/>
        <w:rPr>
          <w:rFonts w:ascii="Times New Roman" w:hAnsi="Times New Roman"/>
          <w:b/>
          <w:sz w:val="24"/>
          <w:szCs w:val="24"/>
        </w:rPr>
      </w:pPr>
      <w:r w:rsidRPr="008A0158" w:rsidDel="0045541B">
        <w:rPr>
          <w:rFonts w:ascii="Times New Roman" w:hAnsi="Times New Roman"/>
          <w:sz w:val="24"/>
          <w:szCs w:val="24"/>
        </w:rPr>
        <w:t xml:space="preserve"> </w:t>
      </w: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6B28825C"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Non-</w:t>
      </w:r>
      <w:r w:rsidR="00D47D4B" w:rsidRPr="008A0158">
        <w:rPr>
          <w:rFonts w:ascii="Times New Roman" w:hAnsi="Times New Roman" w:cs="Times New Roman"/>
          <w:b/>
          <w:sz w:val="24"/>
          <w:szCs w:val="24"/>
        </w:rPr>
        <w:t>Life-Threatening</w:t>
      </w:r>
      <w:r w:rsidRPr="008A0158">
        <w:rPr>
          <w:rFonts w:ascii="Times New Roman" w:hAnsi="Times New Roman" w:cs="Times New Roman"/>
          <w:b/>
          <w:sz w:val="24"/>
          <w:szCs w:val="24"/>
        </w:rPr>
        <w:t xml:space="preserve">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73505954" w14:textId="77777777" w:rsidR="005B5E45" w:rsidRPr="009E6179" w:rsidRDefault="005B5E45" w:rsidP="009E6179">
      <w:pPr>
        <w:spacing w:line="240" w:lineRule="auto"/>
        <w:rPr>
          <w:rFonts w:ascii="Times New Roman" w:hAnsi="Times New Roman"/>
          <w:b/>
          <w:sz w:val="24"/>
          <w:szCs w:val="24"/>
        </w:rPr>
      </w:pPr>
      <w:bookmarkStart w:id="2" w:name="_GoBack"/>
      <w:bookmarkEnd w:id="2"/>
      <w:r w:rsidRPr="009E6179">
        <w:rPr>
          <w:rFonts w:ascii="Times New Roman" w:hAnsi="Times New Roman"/>
          <w:b/>
          <w:sz w:val="24"/>
          <w:szCs w:val="24"/>
        </w:rPr>
        <w:t>Training Requirements</w:t>
      </w:r>
    </w:p>
    <w:p w14:paraId="4FC20FE7" w14:textId="098BC619" w:rsidR="003A24AF" w:rsidRPr="00920E36" w:rsidRDefault="00685061" w:rsidP="00920E36">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C653D0">
        <w:rPr>
          <w:rFonts w:ascii="Times New Roman" w:hAnsi="Times New Roman" w:cs="Times New Roman"/>
          <w:sz w:val="24"/>
          <w:szCs w:val="24"/>
        </w:rPr>
        <w:t>nitric acid</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45541B">
        <w:rPr>
          <w:rFonts w:ascii="Times New Roman" w:hAnsi="Times New Roman"/>
          <w:sz w:val="24"/>
          <w:szCs w:val="24"/>
        </w:rPr>
        <w:t>review the lab</w:t>
      </w:r>
      <w:r w:rsidR="007449C3">
        <w:rPr>
          <w:rFonts w:ascii="Times New Roman" w:hAnsi="Times New Roman"/>
          <w:sz w:val="24"/>
          <w:szCs w:val="24"/>
        </w:rPr>
        <w:t>-</w:t>
      </w:r>
      <w:r w:rsidR="0045541B">
        <w:rPr>
          <w:rFonts w:ascii="Times New Roman" w:hAnsi="Times New Roman"/>
          <w:sz w:val="24"/>
          <w:szCs w:val="24"/>
        </w:rPr>
        <w:t xml:space="preserve">specific </w:t>
      </w:r>
      <w:r w:rsidR="007449C3">
        <w:rPr>
          <w:rFonts w:ascii="Times New Roman" w:hAnsi="Times New Roman"/>
          <w:sz w:val="24"/>
          <w:szCs w:val="24"/>
        </w:rPr>
        <w:t>N</w:t>
      </w:r>
      <w:r w:rsidR="00C653D0">
        <w:rPr>
          <w:rFonts w:ascii="Times New Roman" w:hAnsi="Times New Roman"/>
          <w:sz w:val="24"/>
          <w:szCs w:val="24"/>
        </w:rPr>
        <w:t xml:space="preserve">itric </w:t>
      </w:r>
      <w:r w:rsidR="007449C3">
        <w:rPr>
          <w:rFonts w:ascii="Times New Roman" w:hAnsi="Times New Roman"/>
          <w:sz w:val="24"/>
          <w:szCs w:val="24"/>
        </w:rPr>
        <w:t>A</w:t>
      </w:r>
      <w:r w:rsidR="00C653D0">
        <w:rPr>
          <w:rFonts w:ascii="Times New Roman" w:hAnsi="Times New Roman"/>
          <w:sz w:val="24"/>
          <w:szCs w:val="24"/>
        </w:rPr>
        <w:t>cid</w:t>
      </w:r>
      <w:r w:rsidR="0045541B">
        <w:rPr>
          <w:rFonts w:ascii="Times New Roman" w:hAnsi="Times New Roman"/>
          <w:sz w:val="24"/>
          <w:szCs w:val="24"/>
        </w:rPr>
        <w:t xml:space="preserve"> SOP before beginning work. </w:t>
      </w:r>
      <w:r w:rsidR="00E92FCA" w:rsidRPr="00920E36">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0D59D4D0"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C653D0">
        <w:rPr>
          <w:rFonts w:ascii="Times New Roman" w:hAnsi="Times New Roman" w:cs="Times New Roman"/>
          <w:sz w:val="24"/>
          <w:szCs w:val="24"/>
        </w:rPr>
        <w:t xml:space="preserve">Nitric </w:t>
      </w:r>
      <w:r w:rsidR="007449C3">
        <w:rPr>
          <w:rFonts w:ascii="Times New Roman" w:hAnsi="Times New Roman" w:cs="Times New Roman"/>
          <w:sz w:val="24"/>
          <w:szCs w:val="24"/>
        </w:rPr>
        <w:t>A</w:t>
      </w:r>
      <w:r w:rsidR="00C653D0">
        <w:rPr>
          <w:rFonts w:ascii="Times New Roman" w:hAnsi="Times New Roman" w:cs="Times New Roman"/>
          <w:sz w:val="24"/>
          <w:szCs w:val="24"/>
        </w:rPr>
        <w:t>cid</w:t>
      </w:r>
      <w:r w:rsidR="002776CD" w:rsidRPr="002776CD">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C653D0">
        <w:rPr>
          <w:rFonts w:ascii="Times New Roman" w:hAnsi="Times New Roman" w:cs="Times New Roman"/>
          <w:sz w:val="24"/>
          <w:szCs w:val="24"/>
        </w:rPr>
        <w:t>nitric acid</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7449C3">
        <w:rPr>
          <w:rFonts w:ascii="Times New Roman" w:hAnsi="Times New Roman" w:cs="Times New Roman"/>
          <w:sz w:val="24"/>
          <w:szCs w:val="24"/>
        </w:rPr>
        <w:t>________</w:t>
      </w:r>
      <w:r w:rsidR="00F87C14">
        <w:rPr>
          <w:rFonts w:ascii="Times New Roman" w:hAnsi="Times New Roman" w:cs="Times New Roman"/>
          <w:sz w:val="24"/>
          <w:szCs w:val="24"/>
        </w:rPr>
        <w:t xml:space="preserve"> 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9D5C" w14:textId="77777777" w:rsidR="009B19BC" w:rsidRDefault="009B19BC" w:rsidP="00076545">
      <w:pPr>
        <w:spacing w:after="0" w:line="240" w:lineRule="auto"/>
      </w:pPr>
      <w:r>
        <w:separator/>
      </w:r>
    </w:p>
  </w:endnote>
  <w:endnote w:type="continuationSeparator" w:id="0">
    <w:p w14:paraId="1D777A28" w14:textId="77777777" w:rsidR="009B19BC" w:rsidRDefault="009B19BC"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05EC" w14:textId="77777777" w:rsidR="009B19BC" w:rsidRDefault="009B19BC" w:rsidP="00076545">
      <w:pPr>
        <w:spacing w:after="0" w:line="240" w:lineRule="auto"/>
      </w:pPr>
      <w:r>
        <w:separator/>
      </w:r>
    </w:p>
  </w:footnote>
  <w:footnote w:type="continuationSeparator" w:id="0">
    <w:p w14:paraId="650EDF44" w14:textId="77777777" w:rsidR="009B19BC" w:rsidRDefault="009B19BC"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14"/>
  </w:num>
  <w:num w:numId="5">
    <w:abstractNumId w:val="15"/>
  </w:num>
  <w:num w:numId="6">
    <w:abstractNumId w:val="11"/>
  </w:num>
  <w:num w:numId="7">
    <w:abstractNumId w:val="8"/>
  </w:num>
  <w:num w:numId="8">
    <w:abstractNumId w:val="1"/>
  </w:num>
  <w:num w:numId="9">
    <w:abstractNumId w:val="3"/>
  </w:num>
  <w:num w:numId="10">
    <w:abstractNumId w:val="17"/>
  </w:num>
  <w:num w:numId="11">
    <w:abstractNumId w:val="6"/>
  </w:num>
  <w:num w:numId="12">
    <w:abstractNumId w:val="21"/>
  </w:num>
  <w:num w:numId="13">
    <w:abstractNumId w:val="13"/>
  </w:num>
  <w:num w:numId="14">
    <w:abstractNumId w:val="23"/>
  </w:num>
  <w:num w:numId="15">
    <w:abstractNumId w:val="19"/>
  </w:num>
  <w:num w:numId="16">
    <w:abstractNumId w:val="18"/>
  </w:num>
  <w:num w:numId="17">
    <w:abstractNumId w:val="0"/>
  </w:num>
  <w:num w:numId="18">
    <w:abstractNumId w:val="12"/>
  </w:num>
  <w:num w:numId="19">
    <w:abstractNumId w:val="9"/>
  </w:num>
  <w:num w:numId="20">
    <w:abstractNumId w:val="16"/>
  </w:num>
  <w:num w:numId="21">
    <w:abstractNumId w:val="2"/>
  </w:num>
  <w:num w:numId="22">
    <w:abstractNumId w:val="5"/>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6541E"/>
    <w:rsid w:val="00076545"/>
    <w:rsid w:val="000A0F2B"/>
    <w:rsid w:val="000A254A"/>
    <w:rsid w:val="000B7048"/>
    <w:rsid w:val="000B73AA"/>
    <w:rsid w:val="000C5436"/>
    <w:rsid w:val="000D5A37"/>
    <w:rsid w:val="000F3757"/>
    <w:rsid w:val="001239D1"/>
    <w:rsid w:val="00144C40"/>
    <w:rsid w:val="0014510F"/>
    <w:rsid w:val="00146F04"/>
    <w:rsid w:val="00154C6B"/>
    <w:rsid w:val="00193212"/>
    <w:rsid w:val="001B31B0"/>
    <w:rsid w:val="001C3A87"/>
    <w:rsid w:val="001C3D93"/>
    <w:rsid w:val="001D5B93"/>
    <w:rsid w:val="001D7757"/>
    <w:rsid w:val="001F15B7"/>
    <w:rsid w:val="001F1763"/>
    <w:rsid w:val="001F28D5"/>
    <w:rsid w:val="00213705"/>
    <w:rsid w:val="00213C5A"/>
    <w:rsid w:val="00237641"/>
    <w:rsid w:val="002653A6"/>
    <w:rsid w:val="002776CD"/>
    <w:rsid w:val="00281F9C"/>
    <w:rsid w:val="00293A3C"/>
    <w:rsid w:val="00295793"/>
    <w:rsid w:val="002B5DC4"/>
    <w:rsid w:val="002C72A0"/>
    <w:rsid w:val="002D4CD1"/>
    <w:rsid w:val="002D7012"/>
    <w:rsid w:val="002E0166"/>
    <w:rsid w:val="002F473E"/>
    <w:rsid w:val="00300826"/>
    <w:rsid w:val="00304322"/>
    <w:rsid w:val="00361963"/>
    <w:rsid w:val="00372B7E"/>
    <w:rsid w:val="00372EE6"/>
    <w:rsid w:val="00382153"/>
    <w:rsid w:val="00385541"/>
    <w:rsid w:val="003A24AF"/>
    <w:rsid w:val="003B4C0E"/>
    <w:rsid w:val="003D3759"/>
    <w:rsid w:val="003E59F9"/>
    <w:rsid w:val="0040727B"/>
    <w:rsid w:val="004162DB"/>
    <w:rsid w:val="00422833"/>
    <w:rsid w:val="00440243"/>
    <w:rsid w:val="0045040B"/>
    <w:rsid w:val="0045541B"/>
    <w:rsid w:val="00462792"/>
    <w:rsid w:val="0048129E"/>
    <w:rsid w:val="004E35D3"/>
    <w:rsid w:val="004F6B49"/>
    <w:rsid w:val="00501792"/>
    <w:rsid w:val="00521F8B"/>
    <w:rsid w:val="005313DB"/>
    <w:rsid w:val="005325F7"/>
    <w:rsid w:val="005336DD"/>
    <w:rsid w:val="00551685"/>
    <w:rsid w:val="00560847"/>
    <w:rsid w:val="00584966"/>
    <w:rsid w:val="005A3875"/>
    <w:rsid w:val="005B5E45"/>
    <w:rsid w:val="005C3A4B"/>
    <w:rsid w:val="005E2E7B"/>
    <w:rsid w:val="005E708F"/>
    <w:rsid w:val="006018F8"/>
    <w:rsid w:val="00676C7A"/>
    <w:rsid w:val="00685061"/>
    <w:rsid w:val="00691376"/>
    <w:rsid w:val="006D190C"/>
    <w:rsid w:val="006E7A02"/>
    <w:rsid w:val="006F4D26"/>
    <w:rsid w:val="007118FD"/>
    <w:rsid w:val="0072076E"/>
    <w:rsid w:val="00725125"/>
    <w:rsid w:val="007449C3"/>
    <w:rsid w:val="007679F9"/>
    <w:rsid w:val="00787134"/>
    <w:rsid w:val="00791E53"/>
    <w:rsid w:val="007B4759"/>
    <w:rsid w:val="007C13DE"/>
    <w:rsid w:val="007C2C9C"/>
    <w:rsid w:val="007D6906"/>
    <w:rsid w:val="007E6524"/>
    <w:rsid w:val="007E6F34"/>
    <w:rsid w:val="007F759B"/>
    <w:rsid w:val="00802149"/>
    <w:rsid w:val="00823A55"/>
    <w:rsid w:val="00831443"/>
    <w:rsid w:val="00881380"/>
    <w:rsid w:val="008A0158"/>
    <w:rsid w:val="008D471C"/>
    <w:rsid w:val="00904C68"/>
    <w:rsid w:val="00912B49"/>
    <w:rsid w:val="009132F1"/>
    <w:rsid w:val="00914760"/>
    <w:rsid w:val="00920E36"/>
    <w:rsid w:val="00925977"/>
    <w:rsid w:val="0094569C"/>
    <w:rsid w:val="0095041F"/>
    <w:rsid w:val="00953F13"/>
    <w:rsid w:val="009548B1"/>
    <w:rsid w:val="009724CE"/>
    <w:rsid w:val="00974BD2"/>
    <w:rsid w:val="00985636"/>
    <w:rsid w:val="00986024"/>
    <w:rsid w:val="009949F8"/>
    <w:rsid w:val="00997B4D"/>
    <w:rsid w:val="009B19BC"/>
    <w:rsid w:val="009B4B3F"/>
    <w:rsid w:val="009D318D"/>
    <w:rsid w:val="009E3557"/>
    <w:rsid w:val="009E6179"/>
    <w:rsid w:val="00A04F8D"/>
    <w:rsid w:val="00A32EF0"/>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61A52"/>
    <w:rsid w:val="00C653D0"/>
    <w:rsid w:val="00C65BD4"/>
    <w:rsid w:val="00C73630"/>
    <w:rsid w:val="00CC2FF5"/>
    <w:rsid w:val="00CC3EAB"/>
    <w:rsid w:val="00D03517"/>
    <w:rsid w:val="00D26C21"/>
    <w:rsid w:val="00D47D4B"/>
    <w:rsid w:val="00D662A6"/>
    <w:rsid w:val="00D80843"/>
    <w:rsid w:val="00D957BC"/>
    <w:rsid w:val="00DD67DF"/>
    <w:rsid w:val="00DE1EA7"/>
    <w:rsid w:val="00E0172C"/>
    <w:rsid w:val="00E53D12"/>
    <w:rsid w:val="00E65E81"/>
    <w:rsid w:val="00E84FE2"/>
    <w:rsid w:val="00E92FCA"/>
    <w:rsid w:val="00EA37A9"/>
    <w:rsid w:val="00EA56A9"/>
    <w:rsid w:val="00EB523E"/>
    <w:rsid w:val="00ED4AEE"/>
    <w:rsid w:val="00EF004F"/>
    <w:rsid w:val="00EF1BDC"/>
    <w:rsid w:val="00EF5D06"/>
    <w:rsid w:val="00EF61AE"/>
    <w:rsid w:val="00F12889"/>
    <w:rsid w:val="00F23751"/>
    <w:rsid w:val="00F674BA"/>
    <w:rsid w:val="00F81BC4"/>
    <w:rsid w:val="00F87C14"/>
    <w:rsid w:val="00F92253"/>
    <w:rsid w:val="00FA7118"/>
    <w:rsid w:val="00FB7F04"/>
    <w:rsid w:val="57F82617"/>
    <w:rsid w:val="68F332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niosh/npg/npgd044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2.xml><?xml version="1.0" encoding="utf-8"?>
<ds:datastoreItem xmlns:ds="http://schemas.openxmlformats.org/officeDocument/2006/customXml" ds:itemID="{93423445-F7DD-4B64-A5F0-E7676580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F2060-F39D-4A50-9C60-79D7EC09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6883</Characters>
  <Application>Microsoft Office Word</Application>
  <DocSecurity>0</DocSecurity>
  <Lines>57</Lines>
  <Paragraphs>16</Paragraphs>
  <ScaleCrop>false</ScaleCrop>
  <Company>Oregon State University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Viktor Gough</cp:lastModifiedBy>
  <cp:revision>6</cp:revision>
  <dcterms:created xsi:type="dcterms:W3CDTF">2021-05-05T01:12:00Z</dcterms:created>
  <dcterms:modified xsi:type="dcterms:W3CDTF">2022-07-20T22:31:00Z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